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35" w:rsidRDefault="001F7406" w:rsidP="00570F5C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color w:val="282836"/>
          <w:kern w:val="36"/>
          <w:sz w:val="24"/>
          <w:szCs w:val="36"/>
          <w:lang w:eastAsia="el-GR"/>
        </w:rPr>
      </w:pPr>
      <w:bookmarkStart w:id="0" w:name="_Hlk79749179"/>
      <w:r w:rsidRPr="00E478C7">
        <w:rPr>
          <w:rFonts w:ascii="Times New Roman" w:eastAsia="Times New Roman" w:hAnsi="Times New Roman" w:cs="Times New Roman"/>
          <w:b/>
          <w:color w:val="282836"/>
          <w:kern w:val="36"/>
          <w:sz w:val="24"/>
          <w:szCs w:val="36"/>
          <w:lang w:eastAsia="el-GR"/>
        </w:rPr>
        <w:t xml:space="preserve">ΣΥΜΜΟΡΦΩΣΗ </w:t>
      </w:r>
      <w:r w:rsidR="007460D6" w:rsidRPr="00E478C7">
        <w:rPr>
          <w:rFonts w:ascii="Times New Roman" w:eastAsia="Times New Roman" w:hAnsi="Times New Roman" w:cs="Times New Roman"/>
          <w:b/>
          <w:color w:val="282836"/>
          <w:kern w:val="36"/>
          <w:sz w:val="24"/>
          <w:szCs w:val="36"/>
          <w:lang w:eastAsia="el-GR"/>
        </w:rPr>
        <w:t xml:space="preserve">ΤΩΝ ΕΠΑΓΓΕΛΜΑΤΙΩΝ ΥΓΕΙΑΣ </w:t>
      </w:r>
      <w:r w:rsidRPr="00E478C7">
        <w:rPr>
          <w:rFonts w:ascii="Times New Roman" w:eastAsia="Times New Roman" w:hAnsi="Times New Roman" w:cs="Times New Roman"/>
          <w:b/>
          <w:color w:val="282836"/>
          <w:kern w:val="36"/>
          <w:sz w:val="24"/>
          <w:szCs w:val="36"/>
          <w:lang w:eastAsia="el-GR"/>
        </w:rPr>
        <w:t>ΣΤΗ ΔΕΣΜΗ ΜΕΤΡΩΝ ΓΙΑ ΤΗΝ ΠΡΟΛΗΨΗ ΤΩΝ</w:t>
      </w:r>
      <w:r w:rsidR="00694CCB" w:rsidRPr="00E478C7">
        <w:rPr>
          <w:rFonts w:ascii="Times New Roman" w:eastAsia="Times New Roman" w:hAnsi="Times New Roman" w:cs="Times New Roman"/>
          <w:b/>
          <w:color w:val="282836"/>
          <w:kern w:val="36"/>
          <w:sz w:val="24"/>
          <w:szCs w:val="36"/>
          <w:lang w:eastAsia="el-GR"/>
        </w:rPr>
        <w:t xml:space="preserve"> </w:t>
      </w:r>
      <w:r w:rsidR="00983989">
        <w:rPr>
          <w:rFonts w:ascii="Times New Roman" w:eastAsia="Times New Roman" w:hAnsi="Times New Roman" w:cs="Times New Roman"/>
          <w:b/>
          <w:color w:val="282836"/>
          <w:kern w:val="36"/>
          <w:sz w:val="24"/>
          <w:szCs w:val="36"/>
          <w:lang w:eastAsia="el-GR"/>
        </w:rPr>
        <w:t>ΟΥΡΟΛΟΙΜΩΞΕΩΝ</w:t>
      </w:r>
      <w:r w:rsidR="00925F9A" w:rsidRPr="00E478C7">
        <w:rPr>
          <w:rFonts w:ascii="Times New Roman" w:eastAsia="Times New Roman" w:hAnsi="Times New Roman" w:cs="Times New Roman"/>
          <w:b/>
          <w:color w:val="282836"/>
          <w:kern w:val="36"/>
          <w:sz w:val="24"/>
          <w:szCs w:val="36"/>
          <w:lang w:eastAsia="el-GR"/>
        </w:rPr>
        <w:t xml:space="preserve"> ΠΟΥ ΣΧΕΤΙΖΟΝΤΑΙ ΜΕ </w:t>
      </w:r>
      <w:r w:rsidR="00983989">
        <w:rPr>
          <w:rFonts w:ascii="Times New Roman" w:eastAsia="Times New Roman" w:hAnsi="Times New Roman" w:cs="Times New Roman"/>
          <w:b/>
          <w:color w:val="282836"/>
          <w:kern w:val="36"/>
          <w:sz w:val="24"/>
          <w:szCs w:val="36"/>
          <w:lang w:eastAsia="el-GR"/>
        </w:rPr>
        <w:t>ΟΥΡΟΚΑΘΕΤΗΡΑ</w:t>
      </w:r>
      <w:r w:rsidR="00B75416" w:rsidRPr="00E478C7">
        <w:rPr>
          <w:rFonts w:ascii="Times New Roman" w:eastAsia="Times New Roman" w:hAnsi="Times New Roman" w:cs="Times New Roman"/>
          <w:b/>
          <w:color w:val="282836"/>
          <w:kern w:val="36"/>
          <w:sz w:val="24"/>
          <w:szCs w:val="36"/>
          <w:lang w:eastAsia="el-GR"/>
        </w:rPr>
        <w:t xml:space="preserve"> </w:t>
      </w:r>
    </w:p>
    <w:p w:rsidR="00F10A42" w:rsidRDefault="00F10A42" w:rsidP="00F10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Χρήστος </w:t>
      </w:r>
      <w:r w:rsidRPr="00007A8A">
        <w:rPr>
          <w:rFonts w:ascii="Times New Roman" w:hAnsi="Times New Roman" w:cs="Times New Roman"/>
          <w:b/>
          <w:sz w:val="24"/>
          <w:szCs w:val="24"/>
          <w:u w:val="single"/>
        </w:rPr>
        <w:t>Τριανταφύλλου</w:t>
      </w:r>
      <w:r w:rsidRPr="00007A8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Ελένη Κουρκούνη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Ιωάννης Κοψιδάς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10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Αναστασία Μπελή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Ιωάννα Ρουμελιώτου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412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Ιωάννης Ελευσ</w:t>
      </w:r>
      <w:r w:rsidR="00382A59">
        <w:rPr>
          <w:rFonts w:ascii="Times New Roman" w:hAnsi="Times New Roman" w:cs="Times New Roman"/>
          <w:b/>
          <w:sz w:val="24"/>
          <w:szCs w:val="24"/>
        </w:rPr>
        <w:t>ι</w:t>
      </w:r>
      <w:r>
        <w:rPr>
          <w:rFonts w:ascii="Times New Roman" w:hAnsi="Times New Roman" w:cs="Times New Roman"/>
          <w:b/>
          <w:sz w:val="24"/>
          <w:szCs w:val="24"/>
        </w:rPr>
        <w:t>νιώτης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Θεοκλής Ζαούτης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F10A42" w:rsidRPr="004519C7" w:rsidRDefault="00F10A42" w:rsidP="00F10A42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C7">
        <w:rPr>
          <w:rFonts w:ascii="Times New Roman" w:hAnsi="Times New Roman" w:cs="Times New Roman"/>
          <w:b/>
          <w:sz w:val="24"/>
          <w:szCs w:val="24"/>
        </w:rPr>
        <w:t>Κέντρο Κλινικής Επιδημιολογίας και Έκβασης Νοσημάτων (CLEO), Αθήνα</w:t>
      </w:r>
    </w:p>
    <w:p w:rsidR="00F10A42" w:rsidRPr="00F10A42" w:rsidRDefault="00F10A42" w:rsidP="00F10A4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2836"/>
          <w:kern w:val="36"/>
          <w:sz w:val="24"/>
          <w:szCs w:val="36"/>
          <w:lang w:eastAsia="el-GR"/>
        </w:rPr>
      </w:pPr>
      <w:r w:rsidRPr="004519C7">
        <w:rPr>
          <w:rFonts w:ascii="Times New Roman" w:hAnsi="Times New Roman" w:cs="Times New Roman"/>
          <w:b/>
          <w:sz w:val="24"/>
          <w:szCs w:val="24"/>
        </w:rPr>
        <w:t xml:space="preserve">Επιτροπή Νοσοκομειακών Λοιμώξεων, </w:t>
      </w:r>
      <w:r>
        <w:rPr>
          <w:rFonts w:ascii="Times New Roman" w:hAnsi="Times New Roman" w:cs="Times New Roman"/>
          <w:b/>
          <w:sz w:val="24"/>
          <w:szCs w:val="24"/>
        </w:rPr>
        <w:t>Γ.Ο.Ν.Κ.</w:t>
      </w:r>
      <w:r w:rsidRPr="004519C7">
        <w:rPr>
          <w:rFonts w:ascii="Times New Roman" w:hAnsi="Times New Roman" w:cs="Times New Roman"/>
          <w:b/>
          <w:sz w:val="24"/>
          <w:szCs w:val="24"/>
        </w:rPr>
        <w:t xml:space="preserve"> «Οι Άγιοι Ανάργυροι» </w:t>
      </w:r>
      <w:r w:rsidRPr="00F10A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0A42" w:rsidRPr="00F10A42" w:rsidRDefault="00F10A42" w:rsidP="00F10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2836"/>
          <w:kern w:val="36"/>
          <w:sz w:val="24"/>
          <w:szCs w:val="36"/>
          <w:lang w:eastAsia="el-GR"/>
        </w:rPr>
      </w:pPr>
    </w:p>
    <w:bookmarkEnd w:id="0"/>
    <w:p w:rsidR="007436FB" w:rsidRDefault="007436FB" w:rsidP="00E47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Εισαγωγή</w:t>
      </w:r>
      <w:r w:rsidR="00613AE5" w:rsidRPr="00F258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:</w:t>
      </w:r>
      <w:r w:rsidR="00613AE5" w:rsidRPr="00F25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6FB">
        <w:rPr>
          <w:rFonts w:ascii="Times New Roman" w:hAnsi="Times New Roman" w:cs="Times New Roman"/>
          <w:b/>
          <w:sz w:val="24"/>
          <w:szCs w:val="24"/>
        </w:rPr>
        <w:t xml:space="preserve">Οι ουρολοιμώξεις σχετιζόμενες με την χρήση </w:t>
      </w:r>
      <w:proofErr w:type="spellStart"/>
      <w:r w:rsidRPr="007436FB">
        <w:rPr>
          <w:rFonts w:ascii="Times New Roman" w:hAnsi="Times New Roman" w:cs="Times New Roman"/>
          <w:b/>
          <w:sz w:val="24"/>
          <w:szCs w:val="24"/>
        </w:rPr>
        <w:t>ουροκαθετήρα</w:t>
      </w:r>
      <w:proofErr w:type="spellEnd"/>
      <w:r w:rsidRPr="007436F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436FB">
        <w:rPr>
          <w:rFonts w:ascii="Times New Roman" w:hAnsi="Times New Roman" w:cs="Times New Roman"/>
          <w:b/>
          <w:sz w:val="24"/>
          <w:szCs w:val="24"/>
        </w:rPr>
        <w:t>Catheter</w:t>
      </w:r>
      <w:proofErr w:type="spellEnd"/>
      <w:r w:rsidR="005F0A1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436FB">
        <w:rPr>
          <w:rFonts w:ascii="Times New Roman" w:hAnsi="Times New Roman" w:cs="Times New Roman"/>
          <w:b/>
          <w:sz w:val="24"/>
          <w:szCs w:val="24"/>
        </w:rPr>
        <w:t>Associated</w:t>
      </w:r>
      <w:proofErr w:type="spellEnd"/>
      <w:r w:rsidRPr="007436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6FB">
        <w:rPr>
          <w:rFonts w:ascii="Times New Roman" w:hAnsi="Times New Roman" w:cs="Times New Roman"/>
          <w:b/>
          <w:sz w:val="24"/>
          <w:szCs w:val="24"/>
        </w:rPr>
        <w:t>Urinary</w:t>
      </w:r>
      <w:proofErr w:type="spellEnd"/>
      <w:r w:rsidRPr="007436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6FB">
        <w:rPr>
          <w:rFonts w:ascii="Times New Roman" w:hAnsi="Times New Roman" w:cs="Times New Roman"/>
          <w:b/>
          <w:sz w:val="24"/>
          <w:szCs w:val="24"/>
        </w:rPr>
        <w:t>Tract</w:t>
      </w:r>
      <w:proofErr w:type="spellEnd"/>
      <w:r w:rsidRPr="007436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6FB">
        <w:rPr>
          <w:rFonts w:ascii="Times New Roman" w:hAnsi="Times New Roman" w:cs="Times New Roman"/>
          <w:b/>
          <w:sz w:val="24"/>
          <w:szCs w:val="24"/>
        </w:rPr>
        <w:t>Infection</w:t>
      </w:r>
      <w:proofErr w:type="spellEnd"/>
      <w:r w:rsidRPr="007436FB">
        <w:rPr>
          <w:rFonts w:ascii="Times New Roman" w:hAnsi="Times New Roman" w:cs="Times New Roman"/>
          <w:b/>
          <w:sz w:val="24"/>
          <w:szCs w:val="24"/>
        </w:rPr>
        <w:t>-CAUTI) αποτελούν το</w:t>
      </w:r>
      <w:r w:rsidR="00FE0C24">
        <w:rPr>
          <w:rFonts w:ascii="Times New Roman" w:hAnsi="Times New Roman" w:cs="Times New Roman"/>
          <w:b/>
          <w:sz w:val="24"/>
          <w:szCs w:val="24"/>
        </w:rPr>
        <w:t>ν</w:t>
      </w:r>
      <w:r w:rsidRPr="007436FB">
        <w:rPr>
          <w:rFonts w:ascii="Times New Roman" w:hAnsi="Times New Roman" w:cs="Times New Roman"/>
          <w:b/>
          <w:sz w:val="24"/>
          <w:szCs w:val="24"/>
        </w:rPr>
        <w:t xml:space="preserve"> πιο συχνό τύπο νοσοκομειακών λοιμώξεων στους ενήλικες</w:t>
      </w:r>
      <w:r w:rsidR="00570F5C">
        <w:rPr>
          <w:rFonts w:ascii="Times New Roman" w:hAnsi="Times New Roman" w:cs="Times New Roman"/>
          <w:b/>
          <w:sz w:val="24"/>
          <w:szCs w:val="24"/>
        </w:rPr>
        <w:t>.</w:t>
      </w:r>
    </w:p>
    <w:p w:rsidR="00E478C7" w:rsidRPr="00F258C5" w:rsidRDefault="007436FB" w:rsidP="00E4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436FB">
        <w:rPr>
          <w:rFonts w:ascii="Times New Roman" w:hAnsi="Times New Roman" w:cs="Times New Roman"/>
          <w:b/>
          <w:sz w:val="24"/>
          <w:szCs w:val="24"/>
          <w:u w:val="single"/>
        </w:rPr>
        <w:t>Σκοπός: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F5C">
        <w:rPr>
          <w:rFonts w:ascii="Times New Roman" w:hAnsi="Times New Roman" w:cs="Times New Roman"/>
          <w:b/>
          <w:sz w:val="24"/>
          <w:szCs w:val="24"/>
        </w:rPr>
        <w:t>Η</w:t>
      </w:r>
      <w:r w:rsidR="00613AE5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εκτίμηση της συμμόρφωσης των επαγγελματιών υγείας στη δέσμη μέτρων </w:t>
      </w:r>
      <w:r w:rsidR="00634112" w:rsidRPr="006341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διατήρησης του ουροκαθετήρα </w:t>
      </w:r>
      <w:r w:rsidR="00613AE5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που εφαρμόστηκε για την πρόληψη </w:t>
      </w:r>
      <w:r w:rsidR="0098398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των</w:t>
      </w:r>
      <w:r w:rsidR="00FF33C2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98398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CAUTIs</w:t>
      </w:r>
      <w:r w:rsidR="00613AE5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:rsidR="00613AE5" w:rsidRPr="00F258C5" w:rsidRDefault="00CE1256" w:rsidP="00E4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258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Υλικό και Μέθοδο</w:t>
      </w:r>
      <w:r w:rsidR="00E478C7" w:rsidRPr="00F258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ι</w:t>
      </w:r>
      <w:r w:rsidR="008D5E78" w:rsidRPr="00F258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:</w:t>
      </w:r>
      <w:r w:rsidR="003A743C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5F0A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Οι νοσηλευτές ελέγχου λοιμώξεων (ΝΕΛ) ενός δημόσιου νοσοκομείου της Αττικής</w:t>
      </w:r>
      <w:r w:rsidR="00946818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 w:rsidR="003A743C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συμπλήρων</w:t>
      </w:r>
      <w:r w:rsidR="00180AD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</w:t>
      </w:r>
      <w:r w:rsidR="003A743C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5F0A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το </w:t>
      </w:r>
      <w:r w:rsidR="003A743C" w:rsidRPr="00F258C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checklist</w:t>
      </w:r>
      <w:r w:rsidR="005F0A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(λίστα ελέγχου) </w:t>
      </w:r>
      <w:r w:rsidR="00943861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σε τυχαία ημέρα κάθε εβδομάδα, το χρονικό διάστημα </w:t>
      </w:r>
      <w:r w:rsidR="0094386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Απρίλιος 2019</w:t>
      </w:r>
      <w:r w:rsidR="00943861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r w:rsidR="0094386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Δεκέμβριος</w:t>
      </w:r>
      <w:r w:rsidR="00943861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2019</w:t>
      </w:r>
      <w:r w:rsidR="0094386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 σε όλους τους ασθενείς που έφεραν ουροκαθετήρα και νοσηλεύονταν στη μονάδα εντατικής θεραπείας (ΜΕΘ), σε δύο παθολογικές, μία χειρουργική και μία ογκολογική κλινική</w:t>
      </w:r>
      <w:r w:rsidR="00943861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943861" w:rsidRPr="00F258C5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="00943861" w:rsidRPr="0063411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Εξεταζόταν η ύπαρξη ένδειξης</w:t>
      </w:r>
      <w:r w:rsidR="0094386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5F0A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παραμονής του ουροκαθετήρα</w:t>
      </w:r>
      <w:r w:rsidR="0094386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και η συμμόρφωση με τις οδηγίες διατήρησης του ουροκαθετήρα</w:t>
      </w:r>
      <w:r w:rsidR="00E35C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(πίνακας 1)</w:t>
      </w:r>
      <w:r w:rsidR="006341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="00FE0C2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Το </w:t>
      </w:r>
      <w:r w:rsidR="00FE0C24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checklist</w:t>
      </w:r>
      <w:r w:rsidR="00946818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βασίστηκ</w:t>
      </w:r>
      <w:r w:rsidR="00FE0C2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</w:t>
      </w:r>
      <w:r w:rsidR="00946818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στις κατευθυντήριες γραμμές του Αμερικανικού Κέντρου Ελέγχου και Πρόληψης Νοσημάτων (CDC). </w:t>
      </w:r>
      <w:r w:rsidR="00613AE5" w:rsidRPr="00F258C5">
        <w:rPr>
          <w:rFonts w:ascii="Times New Roman" w:hAnsi="Times New Roman" w:cs="Times New Roman"/>
          <w:b/>
          <w:sz w:val="24"/>
          <w:szCs w:val="24"/>
        </w:rPr>
        <w:t>Υπολογίστηκαν τα συγκεντρωτικά ποσοστά τόσο της συνολικής συμμόρφωσης όσο και της συμμόρφωσης σε κάθε επιμέρους παράμετρο</w:t>
      </w:r>
      <w:r w:rsidR="00D3265C">
        <w:rPr>
          <w:rFonts w:ascii="Times New Roman" w:hAnsi="Times New Roman" w:cs="Times New Roman"/>
          <w:b/>
          <w:sz w:val="24"/>
          <w:szCs w:val="24"/>
        </w:rPr>
        <w:t xml:space="preserve"> (πίνακας 1)</w:t>
      </w:r>
      <w:r w:rsidR="00613AE5" w:rsidRPr="00F258C5">
        <w:rPr>
          <w:rFonts w:ascii="Times New Roman" w:hAnsi="Times New Roman" w:cs="Times New Roman"/>
          <w:b/>
          <w:sz w:val="24"/>
          <w:szCs w:val="24"/>
        </w:rPr>
        <w:t>.</w:t>
      </w:r>
    </w:p>
    <w:p w:rsidR="00651CF9" w:rsidRPr="00F258C5" w:rsidRDefault="0036563D" w:rsidP="00E4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258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Αποτελέσματα</w:t>
      </w:r>
      <w:r w:rsidR="008D5E78" w:rsidRPr="00F258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:</w:t>
      </w:r>
      <w:r w:rsidR="008D5E78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EE2DD1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Καταγρ</w:t>
      </w:r>
      <w:r w:rsidR="00613AE5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ά</w:t>
      </w:r>
      <w:r w:rsidR="00EE2DD1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φηκαν </w:t>
      </w:r>
      <w:r w:rsidR="00B9240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866</w:t>
      </w:r>
      <w:r w:rsidR="00B75416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2F0DE8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παρατηρήσεις</w:t>
      </w:r>
      <w:r w:rsidR="00B75416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="00C16E9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Σε καμία από τις περιπτώσεις  δεν εφαρμόστηκαν και οι 7 παράμετροι της δέσμης μέτρων διατήρησης του ουροκαθετήρα</w:t>
      </w:r>
      <w:r w:rsidR="003A743C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="00C626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Μόνο σε 3 </w:t>
      </w:r>
      <w:r w:rsidR="00C626A7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παρατηρήσεις</w:t>
      </w:r>
      <w:r w:rsidR="00C626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</w:t>
      </w:r>
      <w:r w:rsidR="00C16E9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0,3%</w:t>
      </w:r>
      <w:r w:rsidR="00C626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 w:rsidR="006341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CE3B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</w:t>
      </w:r>
      <w:r w:rsidR="00CE3B6C" w:rsidRPr="00CE3B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ουροκαθετήρας </w:t>
      </w:r>
      <w:r w:rsidR="00CE3B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ήταν</w:t>
      </w:r>
      <w:r w:rsidR="00CE3B6C" w:rsidRPr="00CE3B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σταθεροποιημένος στο μηρό ή στο κοιλιακό τοίχωμα</w:t>
      </w:r>
      <w:r w:rsidR="00D74A69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="0094386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</w:t>
      </w:r>
      <w:r w:rsidR="00CE3B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το 82,2% (707/860) των περιπτώσεων υπήρχε μία τουλάχιστον ένδειξη</w:t>
      </w:r>
      <w:r w:rsidR="0094386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παραμονής του ουροκαθετήρα με σ</w:t>
      </w:r>
      <w:r w:rsidR="00CE3B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υχνότερη </w:t>
      </w:r>
      <w:r w:rsidR="0094386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</w:t>
      </w:r>
      <w:r w:rsidR="00CE3B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</w:t>
      </w:r>
      <w:r w:rsidR="0094386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</w:t>
      </w:r>
      <w:r w:rsidR="00CE3B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</w:t>
      </w:r>
      <w:r w:rsidR="00CE3B6C" w:rsidRPr="00CE3B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αρατεταμένη ακινητοποίηση </w:t>
      </w:r>
      <w:r w:rsidR="00CE3B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του ασθενούς (</w:t>
      </w:r>
      <w:r w:rsidR="00CE3B6C" w:rsidRPr="00CE3B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548</w:t>
      </w:r>
      <w:r w:rsidR="00CE3B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</w:t>
      </w:r>
      <w:r w:rsidR="00CE3B6C" w:rsidRPr="00CE3B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866</w:t>
      </w:r>
      <w:r w:rsidR="00CE3B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="00CE3B6C" w:rsidRPr="00CE3B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63,3%</w:t>
      </w:r>
      <w:r w:rsidR="00CE3B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 w:rsidR="00376EC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:rsidR="005B5E6C" w:rsidRPr="00F258C5" w:rsidRDefault="0036563D" w:rsidP="00E4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258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Συμπεράσματα</w:t>
      </w:r>
      <w:r w:rsidR="008D5E78" w:rsidRPr="00F258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:</w:t>
      </w:r>
      <w:r w:rsidR="008D5E78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8D5E78" w:rsidRPr="00F258C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 </w:t>
      </w:r>
      <w:r w:rsidR="00D3265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Είναι η</w:t>
      </w:r>
      <w:r w:rsidR="00E95692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πρώτη</w:t>
      </w:r>
      <w:r w:rsidR="00D3265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ελληνική</w:t>
      </w:r>
      <w:r w:rsidR="00E95692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μελέτη που εξετάζει τη συμμόρφωση των επαγγελματιών υγείας με δέσμη μέτρων </w:t>
      </w:r>
      <w:r w:rsidR="00CE3B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διατήρησης του ουροκαθετήρα</w:t>
      </w:r>
      <w:r w:rsidR="00E95692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EE2DD1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που εφαρμόστηκε </w:t>
      </w:r>
      <w:r w:rsidR="00E95692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για την πρόληψη των </w:t>
      </w:r>
      <w:r w:rsidR="00CE3B6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CAUTIs</w:t>
      </w:r>
      <w:r w:rsidR="00E95692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Τα ποσοστά συμμόρφωσης </w:t>
      </w:r>
      <w:r w:rsidR="002C1D35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αναδεικνύουν </w:t>
      </w:r>
      <w:r w:rsidR="00A1720D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 </w:t>
      </w:r>
      <w:r w:rsidR="00EE2DD1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αναγκαιότητα</w:t>
      </w:r>
      <w:r w:rsidR="00A1720D" w:rsidRPr="00F258C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προγραμμάτων ελέγχου και πρόληψης νοσοκομειακών λοιμώξεων στη χώρα </w:t>
      </w:r>
      <w:r w:rsidR="00FE0C2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μας</w:t>
      </w:r>
      <w:r w:rsidR="00FE0C24">
        <w:t xml:space="preserve">, </w:t>
      </w:r>
      <w:r w:rsidR="00FE0C24" w:rsidRPr="00FE0C2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καθώς μπορούν να υποδείξουν στοχευμένες πρακτικές πρόληψης αυτών.</w:t>
      </w:r>
    </w:p>
    <w:p w:rsidR="00F10A42" w:rsidRDefault="00F10A42">
      <w:pPr>
        <w:rPr>
          <w:rFonts w:ascii="Times New Roman" w:hAnsi="Times New Roman" w:cs="Times New Roman"/>
          <w:sz w:val="24"/>
          <w:szCs w:val="24"/>
        </w:rPr>
      </w:pPr>
    </w:p>
    <w:p w:rsidR="00E875FF" w:rsidRPr="00F258C5" w:rsidRDefault="00E875FF" w:rsidP="00F10A42">
      <w:pPr>
        <w:jc w:val="both"/>
        <w:rPr>
          <w:rFonts w:ascii="Times New Roman" w:hAnsi="Times New Roman" w:cs="Times New Roman"/>
          <w:sz w:val="24"/>
          <w:szCs w:val="24"/>
        </w:rPr>
      </w:pPr>
      <w:r w:rsidRPr="00F258C5">
        <w:rPr>
          <w:rFonts w:ascii="Times New Roman" w:hAnsi="Times New Roman" w:cs="Times New Roman"/>
          <w:sz w:val="24"/>
          <w:szCs w:val="24"/>
        </w:rPr>
        <w:br w:type="page"/>
      </w:r>
    </w:p>
    <w:p w:rsidR="00B02487" w:rsidRDefault="00D3265C" w:rsidP="00D3265C">
      <w:pPr>
        <w:spacing w:after="0"/>
        <w:ind w:left="-142" w:right="-720"/>
      </w:pPr>
      <w:r>
        <w:rPr>
          <w:rFonts w:ascii="Times New Roman" w:hAnsi="Times New Roman" w:cs="Times New Roman"/>
          <w:b/>
        </w:rPr>
        <w:lastRenderedPageBreak/>
        <w:t>Πίνακας 1:</w:t>
      </w:r>
      <w:r w:rsidR="007065E1" w:rsidRPr="007065E1">
        <w:rPr>
          <w:rFonts w:ascii="Times New Roman" w:hAnsi="Times New Roman" w:cs="Times New Roman"/>
        </w:rPr>
        <w:t xml:space="preserve"> </w:t>
      </w:r>
      <w:r w:rsidRPr="00D3265C">
        <w:rPr>
          <w:rFonts w:ascii="Times New Roman" w:hAnsi="Times New Roman" w:cs="Times New Roman"/>
          <w:b/>
          <w:bCs/>
          <w:sz w:val="24"/>
          <w:szCs w:val="24"/>
        </w:rPr>
        <w:t>Ποσοστά</w:t>
      </w:r>
      <w:r w:rsidR="007065E1" w:rsidRPr="00DD4723">
        <w:rPr>
          <w:rFonts w:ascii="Times New Roman" w:hAnsi="Times New Roman" w:cs="Times New Roman"/>
          <w:b/>
          <w:sz w:val="24"/>
        </w:rPr>
        <w:t xml:space="preserve"> συμμόρφωσης στη δέσμη μέτρων που εφαρμόστηκε για την πρόληψη των </w:t>
      </w:r>
      <w:r>
        <w:rPr>
          <w:rFonts w:ascii="Times New Roman" w:hAnsi="Times New Roman" w:cs="Times New Roman"/>
          <w:b/>
          <w:sz w:val="24"/>
        </w:rPr>
        <w:t xml:space="preserve"> ουρολοιμώξεων που σχετίζονται με ουροκαθετήρα</w:t>
      </w:r>
    </w:p>
    <w:tbl>
      <w:tblPr>
        <w:tblW w:w="11341" w:type="dxa"/>
        <w:tblInd w:w="-147" w:type="dxa"/>
        <w:tblLook w:val="04A0"/>
      </w:tblPr>
      <w:tblGrid>
        <w:gridCol w:w="8222"/>
        <w:gridCol w:w="1362"/>
        <w:gridCol w:w="617"/>
        <w:gridCol w:w="1226"/>
      </w:tblGrid>
      <w:tr w:rsidR="00570F5C" w:rsidRPr="00CE3B6C" w:rsidTr="001F5127">
        <w:trPr>
          <w:trHeight w:val="29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D3265C" w:rsidRDefault="00CE3B6C" w:rsidP="00CE3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B6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B6C" w:rsidRPr="00CE3B6C" w:rsidRDefault="001D4979" w:rsidP="00CE3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="00570F5C" w:rsidRPr="00CE3B6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Σ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ύνολο</w:t>
            </w:r>
            <w:r w:rsidR="00570F5C" w:rsidRPr="00CE3B6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(Ν=866)</w:t>
            </w:r>
          </w:p>
        </w:tc>
      </w:tr>
      <w:tr w:rsidR="00570F5C" w:rsidRPr="00CE3B6C" w:rsidTr="001F5127">
        <w:trPr>
          <w:trHeight w:val="29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B61A7A" w:rsidRDefault="00CE3B6C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9" w:rsidRPr="00B61A7A" w:rsidRDefault="001D4979" w:rsidP="001D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Εφαρμογή της παραμέτρου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B61A7A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61A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B61A7A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61A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%</w:t>
            </w:r>
          </w:p>
        </w:tc>
      </w:tr>
      <w:tr w:rsidR="00570F5C" w:rsidRPr="00CE3B6C" w:rsidTr="001F5127">
        <w:trPr>
          <w:trHeight w:val="295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634112" w:rsidRDefault="00634112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Δέσμη μέτρων διατήρησης του ουροκαθετήρα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634112" w:rsidRDefault="00CE3B6C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634112" w:rsidRDefault="00CE3B6C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634112" w:rsidRDefault="00CE3B6C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570F5C" w:rsidRPr="00CE3B6C" w:rsidTr="001F5127">
        <w:trPr>
          <w:trHeight w:val="295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1.Kλειστό </w:t>
            </w:r>
            <w:proofErr w:type="spellStart"/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το</w:t>
            </w:r>
            <w:proofErr w:type="spellEnd"/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σύστημα</w:t>
            </w:r>
            <w:proofErr w:type="spellEnd"/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παροχέτευσης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99,9%</w:t>
            </w:r>
          </w:p>
        </w:tc>
      </w:tr>
      <w:tr w:rsidR="00570F5C" w:rsidRPr="00CE3B6C" w:rsidTr="001F5127">
        <w:trPr>
          <w:trHeight w:val="295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27" w:rsidRDefault="00CE3B6C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2.Ο σάκος συλλογής ούρων βρίσκεται σε θέση κάτω από το ύψος της ουροδόχου </w:t>
            </w:r>
            <w:r w:rsid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CE3B6C" w:rsidRPr="001F5127" w:rsidRDefault="001F5127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="00CE3B6C"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κύστης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97,0%</w:t>
            </w:r>
          </w:p>
        </w:tc>
      </w:tr>
      <w:tr w:rsidR="00570F5C" w:rsidRPr="00CE3B6C" w:rsidTr="001F5127">
        <w:trPr>
          <w:trHeight w:val="295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3.Ο καθετήρας και ο σωλήνας του δεν τσακίζουν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80,9%</w:t>
            </w:r>
          </w:p>
        </w:tc>
      </w:tr>
      <w:tr w:rsidR="00570F5C" w:rsidRPr="00CE3B6C" w:rsidTr="001F5127">
        <w:trPr>
          <w:trHeight w:val="295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4.Ο σάκος συλλογής ούρων δεν βρίσκεται στο δάπεδο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98,0%</w:t>
            </w:r>
          </w:p>
        </w:tc>
      </w:tr>
      <w:tr w:rsidR="00570F5C" w:rsidRPr="00CE3B6C" w:rsidTr="001F5127">
        <w:trPr>
          <w:trHeight w:val="295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5.Ο ουροκαθετήρας είναι σταθεροποιημένος  στο μηρό ή στο κοιλιακό τοίχωμα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0,3%</w:t>
            </w:r>
          </w:p>
        </w:tc>
      </w:tr>
      <w:tr w:rsidR="00570F5C" w:rsidRPr="00CE3B6C" w:rsidTr="001F5127">
        <w:trPr>
          <w:trHeight w:val="295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6.Ο σάκος συλλογής ούρων είναι άδειος (&lt;2/3 του </w:t>
            </w:r>
            <w:r w:rsidR="00943861"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συνολικού</w:t>
            </w: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όγκου)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88,8%</w:t>
            </w:r>
          </w:p>
        </w:tc>
      </w:tr>
      <w:tr w:rsidR="00570F5C" w:rsidRPr="00CE3B6C" w:rsidTr="001F5127">
        <w:trPr>
          <w:trHeight w:val="29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 Έχει γίνει σήμερα καθαρισμός της ουρογεννητικής περιοχής με σαπούνι και νερό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77,8%</w:t>
            </w:r>
          </w:p>
        </w:tc>
      </w:tr>
      <w:tr w:rsidR="00570F5C" w:rsidRPr="00CE3B6C" w:rsidTr="001F5127">
        <w:trPr>
          <w:trHeight w:val="29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E35C97" w:rsidP="00CE3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Εφαρμόστηκαν</w:t>
            </w:r>
            <w:r w:rsidRPr="001F5127" w:rsidDel="00E35C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1F51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ό</w:t>
            </w:r>
            <w:r w:rsidR="001D4979" w:rsidRPr="001F51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λα τα ανωτέρω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0,0%</w:t>
            </w:r>
          </w:p>
        </w:tc>
      </w:tr>
      <w:tr w:rsidR="00E35C97" w:rsidRPr="00CE3B6C" w:rsidTr="001F5127">
        <w:trPr>
          <w:trHeight w:val="29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5C97" w:rsidRPr="001F5127" w:rsidRDefault="00E35C97" w:rsidP="00CE3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Συνολική συμμόρφωση, χωρίς να ληφθεί η παράμετρος 5 υπόψη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35C97" w:rsidRPr="001F5127" w:rsidRDefault="00E35C97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35C97" w:rsidRPr="001F5127" w:rsidRDefault="00E35C97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5C97" w:rsidRPr="001F5127" w:rsidRDefault="00E35C97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57,1%</w:t>
            </w:r>
          </w:p>
        </w:tc>
      </w:tr>
      <w:tr w:rsidR="00B61A7A" w:rsidRPr="00CE3B6C" w:rsidTr="001F5127">
        <w:trPr>
          <w:trHeight w:val="29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A7A" w:rsidRPr="001F5127" w:rsidRDefault="00B61A7A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A7A" w:rsidRPr="001F5127" w:rsidRDefault="00FE0C24" w:rsidP="001D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Σημείωση</w:t>
            </w:r>
            <w:r w:rsidR="001D4979"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της ένδειξης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A7A" w:rsidRPr="001F5127" w:rsidRDefault="00B61A7A" w:rsidP="00B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</w:rPr>
              <w:t>Ν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A7A" w:rsidRPr="001F5127" w:rsidRDefault="00B61A7A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%</w:t>
            </w:r>
          </w:p>
        </w:tc>
      </w:tr>
      <w:tr w:rsidR="00570F5C" w:rsidRPr="00CE3B6C" w:rsidTr="001F5127">
        <w:trPr>
          <w:trHeight w:val="29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</w:pPr>
            <w:proofErr w:type="spellStart"/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Ενδείξεις</w:t>
            </w:r>
            <w:proofErr w:type="spellEnd"/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παραμονής</w:t>
            </w:r>
            <w:proofErr w:type="spellEnd"/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ουροκαθετήρα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</w:pPr>
          </w:p>
        </w:tc>
      </w:tr>
      <w:tr w:rsidR="00570F5C" w:rsidRPr="00CE3B6C" w:rsidTr="001F5127">
        <w:trPr>
          <w:trHeight w:val="295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1.Οξεία κατακράτηση ούρων/ απόφραξη κατώτερου ουροποιητικού συστήματος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10,1%</w:t>
            </w:r>
          </w:p>
        </w:tc>
      </w:tr>
      <w:tr w:rsidR="00570F5C" w:rsidRPr="00CE3B6C" w:rsidTr="001F5127">
        <w:trPr>
          <w:trHeight w:val="295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2.Καταγραφή του ισοζυγίου υγρών σε ασθενή σε κρίσιμη κατάσταση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61,9%</w:t>
            </w:r>
          </w:p>
        </w:tc>
      </w:tr>
      <w:tr w:rsidR="00570F5C" w:rsidRPr="00CE3B6C" w:rsidTr="001F5127">
        <w:trPr>
          <w:trHeight w:val="295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3.Πρόσφατο </w:t>
            </w:r>
            <w:proofErr w:type="spellStart"/>
            <w:r w:rsidR="00634112"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χειρουργείο</w:t>
            </w:r>
            <w:proofErr w:type="spellEnd"/>
            <w:r w:rsidR="00634112"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&lt;24 </w:t>
            </w:r>
            <w:proofErr w:type="spellStart"/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ώρες</w:t>
            </w:r>
            <w:proofErr w:type="spellEnd"/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3,2%</w:t>
            </w:r>
          </w:p>
        </w:tc>
      </w:tr>
      <w:tr w:rsidR="00570F5C" w:rsidRPr="00CE3B6C" w:rsidTr="001F5127">
        <w:trPr>
          <w:trHeight w:val="295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4.Παρατεταμένη ακινητοποίηση ασθενή (κάταγμα πυέλου, ασταθής ΘΜΣΣ, ΟΜΣΣ)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63,3%</w:t>
            </w:r>
          </w:p>
        </w:tc>
      </w:tr>
      <w:tr w:rsidR="00570F5C" w:rsidRPr="00CE3B6C" w:rsidTr="001F5127">
        <w:trPr>
          <w:trHeight w:val="295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27" w:rsidRDefault="00CE3B6C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5.Ανοιχτό τραύμα στην περιοχή του ιερού οστού ή του περινέου σε ασθενείς με </w:t>
            </w:r>
          </w:p>
          <w:p w:rsidR="00CE3B6C" w:rsidRPr="001F5127" w:rsidRDefault="001F5127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="00CE3B6C"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ακράτεια ούρων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38,6%</w:t>
            </w:r>
          </w:p>
        </w:tc>
      </w:tr>
      <w:tr w:rsidR="00570F5C" w:rsidRPr="00CE3B6C" w:rsidTr="001F5127">
        <w:trPr>
          <w:trHeight w:val="29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6.Βελτίωση ποιότητας ζωής (ασθενείς τελικού σταδίου)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22,2%</w:t>
            </w:r>
          </w:p>
        </w:tc>
      </w:tr>
      <w:tr w:rsidR="00570F5C" w:rsidRPr="00CE3B6C" w:rsidTr="001F5127">
        <w:trPr>
          <w:trHeight w:val="29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1D4979" w:rsidP="00CE3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Υπήρχε μία τουλάχιστον από τις ανωτέρω ενδείξεις παραμονής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707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6C" w:rsidRPr="001F5127" w:rsidRDefault="00CE3B6C" w:rsidP="00C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51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82,2%</w:t>
            </w:r>
          </w:p>
        </w:tc>
      </w:tr>
    </w:tbl>
    <w:p w:rsidR="00B02487" w:rsidRDefault="00B02487" w:rsidP="006616AF">
      <w:pPr>
        <w:jc w:val="both"/>
      </w:pPr>
    </w:p>
    <w:sectPr w:rsidR="00B02487" w:rsidSect="00E875FF">
      <w:pgSz w:w="11906" w:h="16838"/>
      <w:pgMar w:top="720" w:right="720" w:bottom="720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02920"/>
    <w:multiLevelType w:val="hybridMultilevel"/>
    <w:tmpl w:val="E3C83674"/>
    <w:lvl w:ilvl="0" w:tplc="80A6E56C">
      <w:start w:val="1"/>
      <w:numFmt w:val="decimal"/>
      <w:lvlText w:val="%1."/>
      <w:lvlJc w:val="left"/>
      <w:pPr>
        <w:ind w:left="360" w:hanging="360"/>
      </w:pPr>
      <w:rPr>
        <w:b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E78"/>
    <w:rsid w:val="00052DD0"/>
    <w:rsid w:val="000729EA"/>
    <w:rsid w:val="000C6766"/>
    <w:rsid w:val="000D4533"/>
    <w:rsid w:val="000E0915"/>
    <w:rsid w:val="00115CF4"/>
    <w:rsid w:val="001416B0"/>
    <w:rsid w:val="00180ADB"/>
    <w:rsid w:val="00184FA9"/>
    <w:rsid w:val="001D4979"/>
    <w:rsid w:val="001F5127"/>
    <w:rsid w:val="001F7406"/>
    <w:rsid w:val="00203F6D"/>
    <w:rsid w:val="00235CF1"/>
    <w:rsid w:val="00260455"/>
    <w:rsid w:val="00283CC7"/>
    <w:rsid w:val="002C1D35"/>
    <w:rsid w:val="002F0DE8"/>
    <w:rsid w:val="00356CAF"/>
    <w:rsid w:val="0036563D"/>
    <w:rsid w:val="00376EC3"/>
    <w:rsid w:val="00382A59"/>
    <w:rsid w:val="003A743C"/>
    <w:rsid w:val="003C0AAA"/>
    <w:rsid w:val="003F0A9E"/>
    <w:rsid w:val="00430D2D"/>
    <w:rsid w:val="00470E2C"/>
    <w:rsid w:val="00490E1C"/>
    <w:rsid w:val="0049462B"/>
    <w:rsid w:val="004B051B"/>
    <w:rsid w:val="004C4D69"/>
    <w:rsid w:val="004E2B4D"/>
    <w:rsid w:val="00501DAE"/>
    <w:rsid w:val="005134B6"/>
    <w:rsid w:val="005267BD"/>
    <w:rsid w:val="00534CD8"/>
    <w:rsid w:val="00543E97"/>
    <w:rsid w:val="00570F5C"/>
    <w:rsid w:val="005A46A7"/>
    <w:rsid w:val="005F0A14"/>
    <w:rsid w:val="005F35F0"/>
    <w:rsid w:val="006128E6"/>
    <w:rsid w:val="00613AE5"/>
    <w:rsid w:val="00634112"/>
    <w:rsid w:val="00651CF9"/>
    <w:rsid w:val="006616AF"/>
    <w:rsid w:val="00694CCB"/>
    <w:rsid w:val="006C59A3"/>
    <w:rsid w:val="007065E1"/>
    <w:rsid w:val="007436FB"/>
    <w:rsid w:val="007460D6"/>
    <w:rsid w:val="00771516"/>
    <w:rsid w:val="007B521E"/>
    <w:rsid w:val="008002E9"/>
    <w:rsid w:val="008920D8"/>
    <w:rsid w:val="008D5E78"/>
    <w:rsid w:val="00925F9A"/>
    <w:rsid w:val="009315D7"/>
    <w:rsid w:val="00943861"/>
    <w:rsid w:val="00946818"/>
    <w:rsid w:val="00983989"/>
    <w:rsid w:val="009A62C8"/>
    <w:rsid w:val="00A1720D"/>
    <w:rsid w:val="00A45D6B"/>
    <w:rsid w:val="00A51099"/>
    <w:rsid w:val="00AB2C83"/>
    <w:rsid w:val="00B02487"/>
    <w:rsid w:val="00B21CB5"/>
    <w:rsid w:val="00B61A7A"/>
    <w:rsid w:val="00B6744F"/>
    <w:rsid w:val="00B75416"/>
    <w:rsid w:val="00B92407"/>
    <w:rsid w:val="00B92D70"/>
    <w:rsid w:val="00BC2460"/>
    <w:rsid w:val="00BD0359"/>
    <w:rsid w:val="00BD7D54"/>
    <w:rsid w:val="00BE29CA"/>
    <w:rsid w:val="00BF084D"/>
    <w:rsid w:val="00BF4AB4"/>
    <w:rsid w:val="00C0568B"/>
    <w:rsid w:val="00C16E91"/>
    <w:rsid w:val="00C22B1A"/>
    <w:rsid w:val="00C457CD"/>
    <w:rsid w:val="00C5240D"/>
    <w:rsid w:val="00C626A7"/>
    <w:rsid w:val="00CA63D4"/>
    <w:rsid w:val="00CB3525"/>
    <w:rsid w:val="00CE1256"/>
    <w:rsid w:val="00CE3B6C"/>
    <w:rsid w:val="00D3265C"/>
    <w:rsid w:val="00D45DB9"/>
    <w:rsid w:val="00D56EFE"/>
    <w:rsid w:val="00D674EF"/>
    <w:rsid w:val="00D74A69"/>
    <w:rsid w:val="00D92835"/>
    <w:rsid w:val="00DB4803"/>
    <w:rsid w:val="00DD4723"/>
    <w:rsid w:val="00E35C97"/>
    <w:rsid w:val="00E478C7"/>
    <w:rsid w:val="00E6611F"/>
    <w:rsid w:val="00E875FF"/>
    <w:rsid w:val="00E95692"/>
    <w:rsid w:val="00EE2DD1"/>
    <w:rsid w:val="00EE62A6"/>
    <w:rsid w:val="00EF185B"/>
    <w:rsid w:val="00EF66C2"/>
    <w:rsid w:val="00F03E53"/>
    <w:rsid w:val="00F10A42"/>
    <w:rsid w:val="00F11B03"/>
    <w:rsid w:val="00F1265B"/>
    <w:rsid w:val="00F258C5"/>
    <w:rsid w:val="00F56027"/>
    <w:rsid w:val="00F931FE"/>
    <w:rsid w:val="00F93E77"/>
    <w:rsid w:val="00FE0C24"/>
    <w:rsid w:val="00FF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0359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D035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BD0359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D0359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BD0359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D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D0359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3A743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10A4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0A4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0A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593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Triantafyllou</dc:creator>
  <cp:lastModifiedBy>user</cp:lastModifiedBy>
  <cp:revision>12</cp:revision>
  <cp:lastPrinted>2021-09-24T12:54:00Z</cp:lastPrinted>
  <dcterms:created xsi:type="dcterms:W3CDTF">2021-08-13T09:17:00Z</dcterms:created>
  <dcterms:modified xsi:type="dcterms:W3CDTF">2021-09-24T15:20:00Z</dcterms:modified>
</cp:coreProperties>
</file>